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72F7" w14:textId="77777777" w:rsidR="00D65F34" w:rsidRDefault="00000000">
      <w:pPr>
        <w:widowControl w:val="0"/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福泉市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4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—202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6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年农业保险工作</w:t>
      </w:r>
    </w:p>
    <w:p w14:paraId="4F8150A3" w14:textId="77777777" w:rsidR="00D65F34" w:rsidRDefault="00000000">
      <w:pPr>
        <w:widowControl w:val="0"/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实施方案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起草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说明</w:t>
      </w:r>
    </w:p>
    <w:p w14:paraId="2EFF4E10" w14:textId="77777777" w:rsidR="00D65F34" w:rsidRDefault="00D65F34">
      <w:pPr>
        <w:spacing w:line="520" w:lineRule="exact"/>
        <w:rPr>
          <w:rFonts w:ascii="Times New Roman" w:eastAsia="黑体" w:hAnsi="Times New Roman"/>
          <w:sz w:val="32"/>
          <w:szCs w:val="32"/>
        </w:rPr>
      </w:pPr>
    </w:p>
    <w:p w14:paraId="13629548" w14:textId="77777777" w:rsidR="00D65F34" w:rsidRDefault="0000000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 w:hint="eastAsia"/>
          <w:sz w:val="32"/>
          <w:szCs w:val="32"/>
        </w:rPr>
        <w:t>出台背景</w:t>
      </w:r>
    </w:p>
    <w:p w14:paraId="480599FC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为贯彻落实财政部等四部委《关于加快农业保险高质量发展的指导意见》（财金〔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102</w:t>
      </w:r>
      <w:r>
        <w:rPr>
          <w:rFonts w:ascii="Times New Roman" w:eastAsia="仿宋_GB2312" w:hAnsi="Times New Roman" w:hint="eastAsia"/>
          <w:sz w:val="32"/>
          <w:szCs w:val="32"/>
        </w:rPr>
        <w:t>号）、《贵州省农业保险高质量发展实施意见》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黔金监发〔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、省委省政府《关于做好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年全面推进乡村振兴重点工作的实施意见》等文件精神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根据《中央财政农业保险保费补贴管理办法》（财金〔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130</w:t>
      </w:r>
      <w:r>
        <w:rPr>
          <w:rFonts w:ascii="Times New Roman" w:eastAsia="仿宋_GB2312" w:hAnsi="Times New Roman" w:hint="eastAsia"/>
          <w:sz w:val="32"/>
          <w:szCs w:val="32"/>
        </w:rPr>
        <w:t>号）等有关规定，按照省委省政府对巩固拓展脱贫攻坚成果、乡村振兴以及政策性农业保险的安排部署，为稳妥有序做好我省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2026</w:t>
      </w:r>
      <w:r>
        <w:rPr>
          <w:rFonts w:ascii="Times New Roman" w:eastAsia="仿宋_GB2312" w:hAnsi="Times New Roman" w:hint="eastAsia"/>
          <w:sz w:val="32"/>
          <w:szCs w:val="32"/>
        </w:rPr>
        <w:t>年农业保险工作，充分发挥农业保险支持粮食和重要农产品稳产保供的作用，结合我省实际，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日省财政厅等七部门关于印发《贵州省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2024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 xml:space="preserve">2026 </w:t>
      </w:r>
      <w:r>
        <w:rPr>
          <w:rFonts w:ascii="Times New Roman" w:eastAsia="仿宋_GB2312" w:hAnsi="Times New Roman" w:hint="eastAsia"/>
          <w:sz w:val="32"/>
          <w:szCs w:val="32"/>
        </w:rPr>
        <w:t>年政策性农业保险工作实施方案》的通知（黔财金〔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号）。</w:t>
      </w:r>
    </w:p>
    <w:p w14:paraId="19F1468B" w14:textId="77777777" w:rsidR="00D65F34" w:rsidRDefault="0000000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起草</w:t>
      </w:r>
      <w:r>
        <w:rPr>
          <w:rFonts w:ascii="Times New Roman" w:eastAsia="黑体" w:hAnsi="Times New Roman"/>
          <w:sz w:val="32"/>
          <w:szCs w:val="32"/>
        </w:rPr>
        <w:t>原因</w:t>
      </w:r>
    </w:p>
    <w:p w14:paraId="582C0ED9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基于《贵州省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2024-2026</w:t>
      </w:r>
      <w:r>
        <w:rPr>
          <w:rFonts w:ascii="Times New Roman" w:eastAsia="仿宋_GB2312" w:hAnsi="Times New Roman" w:hint="eastAsia"/>
          <w:sz w:val="32"/>
          <w:szCs w:val="32"/>
        </w:rPr>
        <w:t>年政策性农业保险工作实施方案》（黔财金〔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号）要求各县市制定符合本地区实际的农业保险工作推进方案，确保政策精准滴灌，引导农户及农业生产经营组织积极参加政策性农业保险，以及省财政厅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省农业农村厅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国家金融监督管理总局贵州监管局《关于在全省范围内全面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开展三大粮食作物完全成本保险工作的通知》（黔财金〔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号），为进一步有力有效推进我市农业保险工作，助力农业现代化高质量发展，巩固拓展脱贫攻坚成果，有效衔接乡村振兴，需要拟定印发《福泉市</w:t>
      </w:r>
      <w:r>
        <w:rPr>
          <w:rFonts w:ascii="Times New Roman" w:eastAsia="仿宋_GB2312" w:hAnsi="Times New Roman" w:hint="eastAsia"/>
          <w:sz w:val="32"/>
          <w:szCs w:val="32"/>
        </w:rPr>
        <w:t>2024-2026</w:t>
      </w:r>
      <w:r>
        <w:rPr>
          <w:rFonts w:ascii="Times New Roman" w:eastAsia="仿宋_GB2312" w:hAnsi="Times New Roman" w:hint="eastAsia"/>
          <w:sz w:val="32"/>
          <w:szCs w:val="32"/>
        </w:rPr>
        <w:t>年农业保险实施方案》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2D427832" w14:textId="77777777" w:rsidR="00D65F34" w:rsidRDefault="00000000">
      <w:pPr>
        <w:pStyle w:val="a0"/>
        <w:spacing w:line="520" w:lineRule="exact"/>
        <w:ind w:leftChars="0" w:left="0"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实施方案</w:t>
      </w:r>
      <w:r>
        <w:rPr>
          <w:rFonts w:ascii="Times New Roman" w:eastAsia="黑体" w:hAnsi="Times New Roman"/>
          <w:sz w:val="32"/>
          <w:szCs w:val="32"/>
        </w:rPr>
        <w:t>主要内容</w:t>
      </w:r>
    </w:p>
    <w:p w14:paraId="6A09D613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《福泉市</w:t>
      </w:r>
      <w:r>
        <w:rPr>
          <w:rFonts w:ascii="Times New Roman" w:eastAsia="仿宋_GB2312" w:hAnsi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-202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年农业保险工作实施方案（送审稿</w:t>
      </w:r>
      <w:r>
        <w:rPr>
          <w:rFonts w:ascii="Times New Roman" w:eastAsia="仿宋_GB2312" w:hAnsi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/>
          <w:color w:val="000000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政府引导、市场运作、自主自愿、协同推进</w:t>
      </w:r>
      <w:r>
        <w:rPr>
          <w:rFonts w:ascii="Times New Roman" w:eastAsia="仿宋_GB2312" w:hAnsi="Times New Roman" w:hint="eastAsia"/>
          <w:sz w:val="32"/>
          <w:szCs w:val="32"/>
        </w:rPr>
        <w:t>、便民快捷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原则，用好用足国家政策，切实推动我市特色农业可持续发展，充分发挥保险</w:t>
      </w:r>
      <w:r>
        <w:rPr>
          <w:rFonts w:ascii="Times New Roman" w:eastAsia="仿宋_GB2312" w:hAnsi="Times New Roman" w:hint="eastAsia"/>
          <w:sz w:val="32"/>
          <w:szCs w:val="32"/>
        </w:rPr>
        <w:t>巩固拓展脱贫攻坚成果同乡村振兴有效衔接</w:t>
      </w:r>
      <w:r>
        <w:rPr>
          <w:rFonts w:ascii="Times New Roman" w:eastAsia="仿宋_GB2312" w:hAnsi="Times New Roman"/>
          <w:sz w:val="32"/>
          <w:szCs w:val="32"/>
        </w:rPr>
        <w:t>作用，建立健全我市农业风险保障机制。</w:t>
      </w:r>
    </w:p>
    <w:p w14:paraId="166694C9" w14:textId="77777777" w:rsidR="00D65F34" w:rsidRDefault="00000000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（一）保险险种</w:t>
      </w:r>
    </w:p>
    <w:p w14:paraId="78669C7D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种植业：水稻、玉米、小麦、油菜、马铃薯、辣椒、生姜、蔬菜、水果、中药材、茶叶、油茶、食用菌、其他粮食作物；</w:t>
      </w:r>
    </w:p>
    <w:p w14:paraId="138E4D77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养殖业：能繁母猪、育肥猪、家禽、牛、奶牛；</w:t>
      </w:r>
    </w:p>
    <w:p w14:paraId="553E90FE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林业：公益林、商品林；</w:t>
      </w:r>
    </w:p>
    <w:p w14:paraId="5C4D340B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价格指数险：蔬菜价格指数、生猪价格指数；</w:t>
      </w:r>
    </w:p>
    <w:p w14:paraId="18D266AF" w14:textId="77777777" w:rsidR="00D65F34" w:rsidRDefault="00000000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其他特色保险：能繁母猪扑杀险、育肥猪扑杀险、茶叶低温气象指数保险、蔬菜气象指数险、淡水鱼养殖险。生猪保险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期货</w:t>
      </w:r>
    </w:p>
    <w:p w14:paraId="5ABA1580" w14:textId="77777777" w:rsidR="00D65F34" w:rsidRDefault="00D65F34">
      <w:pPr>
        <w:pStyle w:val="a0"/>
      </w:pPr>
    </w:p>
    <w:p w14:paraId="2FD7A5BE" w14:textId="77777777" w:rsidR="00D65F34" w:rsidRDefault="00000000">
      <w:pPr>
        <w:snapToGrid w:val="0"/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（二）保险标的保额、费率及分摊比例</w:t>
      </w:r>
    </w:p>
    <w:p w14:paraId="7EFE467B" w14:textId="77777777" w:rsidR="00D65F34" w:rsidRDefault="00000000">
      <w:pPr>
        <w:snapToGrid w:val="0"/>
        <w:spacing w:line="560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（二）保险标的保额、费率及分摊比例</w:t>
      </w:r>
    </w:p>
    <w:p w14:paraId="7BE2E26D" w14:textId="77777777" w:rsidR="00D65F34" w:rsidRDefault="00000000">
      <w:pPr>
        <w:snapToGrid w:val="0"/>
        <w:spacing w:line="560" w:lineRule="exact"/>
        <w:ind w:firstLineChars="200" w:firstLine="640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中央补贴类险种（含中央奖补）</w:t>
      </w:r>
    </w:p>
    <w:p w14:paraId="4A1578A4" w14:textId="77777777" w:rsidR="00D65F34" w:rsidRDefault="00000000">
      <w:pPr>
        <w:snapToGrid w:val="0"/>
        <w:spacing w:line="560" w:lineRule="exact"/>
        <w:jc w:val="right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单位：元、元</w:t>
      </w:r>
      <w:r>
        <w:rPr>
          <w:rFonts w:ascii="Times New Roman" w:eastAsia="黑体" w:hAnsi="Times New Roman" w:cs="黑体" w:hint="eastAsia"/>
          <w:sz w:val="24"/>
          <w:szCs w:val="24"/>
        </w:rPr>
        <w:t>/</w:t>
      </w:r>
      <w:r>
        <w:rPr>
          <w:rFonts w:ascii="Times New Roman" w:eastAsia="黑体" w:hAnsi="Times New Roman" w:cs="黑体" w:hint="eastAsia"/>
          <w:sz w:val="24"/>
          <w:szCs w:val="24"/>
        </w:rPr>
        <w:t>亩、元</w:t>
      </w:r>
      <w:r>
        <w:rPr>
          <w:rFonts w:ascii="Times New Roman" w:eastAsia="黑体" w:hAnsi="Times New Roman" w:cs="黑体" w:hint="eastAsia"/>
          <w:sz w:val="24"/>
          <w:szCs w:val="24"/>
        </w:rPr>
        <w:t>/</w:t>
      </w:r>
      <w:r>
        <w:rPr>
          <w:rFonts w:ascii="Times New Roman" w:eastAsia="黑体" w:hAnsi="Times New Roman" w:cs="黑体" w:hint="eastAsia"/>
          <w:sz w:val="24"/>
          <w:szCs w:val="24"/>
        </w:rPr>
        <w:t>头</w:t>
      </w:r>
    </w:p>
    <w:tbl>
      <w:tblPr>
        <w:tblpPr w:leftFromText="180" w:rightFromText="180" w:vertAnchor="text" w:horzAnchor="page" w:tblpX="530" w:tblpY="296"/>
        <w:tblOverlap w:val="never"/>
        <w:tblW w:w="11220" w:type="dxa"/>
        <w:tblLayout w:type="fixed"/>
        <w:tblLook w:val="04A0" w:firstRow="1" w:lastRow="0" w:firstColumn="1" w:lastColumn="0" w:noHBand="0" w:noVBand="1"/>
      </w:tblPr>
      <w:tblGrid>
        <w:gridCol w:w="774"/>
        <w:gridCol w:w="1059"/>
        <w:gridCol w:w="1063"/>
        <w:gridCol w:w="1059"/>
        <w:gridCol w:w="1059"/>
        <w:gridCol w:w="1059"/>
        <w:gridCol w:w="1059"/>
        <w:gridCol w:w="1059"/>
        <w:gridCol w:w="1059"/>
        <w:gridCol w:w="1059"/>
        <w:gridCol w:w="911"/>
      </w:tblGrid>
      <w:tr w:rsidR="00D65F34" w14:paraId="3ACC901F" w14:textId="77777777">
        <w:trPr>
          <w:trHeight w:val="790"/>
        </w:trPr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0DF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sz w:val="22"/>
                <w:szCs w:val="22"/>
                <w:lang w:bidi="ar"/>
              </w:rPr>
              <w:t>品</w:t>
            </w:r>
            <w:r>
              <w:rPr>
                <w:rStyle w:val="font31"/>
                <w:rFonts w:eastAsia="宋体" w:hint="default"/>
                <w:color w:val="auto"/>
                <w:sz w:val="22"/>
                <w:szCs w:val="22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sz w:val="22"/>
                <w:szCs w:val="22"/>
                <w:lang w:bidi="ar"/>
              </w:rPr>
              <w:t>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5CC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保</w:t>
            </w:r>
            <w:r>
              <w:rPr>
                <w:rStyle w:val="font31"/>
                <w:rFonts w:eastAsia="黑体" w:hint="default"/>
                <w:color w:val="auto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sz w:val="22"/>
                <w:szCs w:val="22"/>
                <w:lang w:bidi="ar"/>
              </w:rPr>
              <w:t>额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F46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费</w:t>
            </w:r>
            <w:r>
              <w:rPr>
                <w:rStyle w:val="font31"/>
                <w:rFonts w:eastAsia="黑体" w:hint="default"/>
                <w:color w:val="auto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sz w:val="22"/>
                <w:szCs w:val="22"/>
                <w:lang w:bidi="ar"/>
              </w:rPr>
              <w:t>率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A5C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保费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B01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中央补贴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586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省级补贴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14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州级补贴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A56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市级补贴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C9A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/>
                <w:sz w:val="22"/>
                <w:szCs w:val="22"/>
                <w:lang w:bidi="ar"/>
              </w:rPr>
              <w:t>农户自缴</w:t>
            </w:r>
          </w:p>
        </w:tc>
      </w:tr>
      <w:tr w:rsidR="00D65F34" w14:paraId="36C318AB" w14:textId="77777777">
        <w:trPr>
          <w:trHeight w:val="367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B76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中央补贴类政策性农业保险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9E7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水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稻</w:t>
            </w:r>
            <w:r>
              <w:rPr>
                <w:rStyle w:val="font01"/>
                <w:rFonts w:hint="eastAsia"/>
                <w:color w:val="auto"/>
                <w:sz w:val="22"/>
                <w:szCs w:val="22"/>
                <w:lang w:bidi="ar"/>
              </w:rPr>
              <w:t>种植险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710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700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E04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EF5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21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E91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45%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2DB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25%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745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4.50%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0EC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10.50%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256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15%</w:t>
            </w:r>
          </w:p>
        </w:tc>
      </w:tr>
      <w:tr w:rsidR="00D65F34" w14:paraId="6A26E53F" w14:textId="77777777">
        <w:trPr>
          <w:trHeight w:val="367"/>
        </w:trPr>
        <w:tc>
          <w:tcPr>
            <w:tcW w:w="7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624C5" w14:textId="77777777" w:rsidR="00D65F34" w:rsidRDefault="00D65F34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92C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水稻完全成本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986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1200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017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D56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36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77E9F" w14:textId="77777777" w:rsidR="00D65F34" w:rsidRDefault="00D65F3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15CD3" w14:textId="77777777" w:rsidR="00D65F34" w:rsidRDefault="00D65F3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2D3EF" w14:textId="77777777" w:rsidR="00D65F34" w:rsidRDefault="00D65F3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94406" w14:textId="77777777" w:rsidR="00D65F34" w:rsidRDefault="00D65F3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38FF8" w14:textId="77777777" w:rsidR="00D65F34" w:rsidRDefault="00D65F34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</w:p>
        </w:tc>
      </w:tr>
      <w:tr w:rsidR="00D65F34" w14:paraId="44D83ED5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9F04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435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玉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米</w:t>
            </w:r>
            <w:r>
              <w:rPr>
                <w:rStyle w:val="font01"/>
                <w:rFonts w:hint="eastAsia"/>
                <w:color w:val="auto"/>
                <w:sz w:val="22"/>
                <w:szCs w:val="22"/>
                <w:lang w:bidi="ar"/>
              </w:rPr>
              <w:t>种植险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D67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600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659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5.4%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D03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32.4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8155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9DAE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E32B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C2FB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19A1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428492D9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4945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B86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玉米完全成本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32B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900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4E6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5.4%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5FD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48.6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EC47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5CB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111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DBC5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F48C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66B8130E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6F90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44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小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麦</w:t>
            </w:r>
            <w:r>
              <w:rPr>
                <w:rStyle w:val="font01"/>
                <w:rFonts w:hint="eastAsia"/>
                <w:color w:val="auto"/>
                <w:sz w:val="22"/>
                <w:szCs w:val="22"/>
                <w:lang w:bidi="ar"/>
              </w:rPr>
              <w:t>种植险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C60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480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395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2.5%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310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12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97DA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71A4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8CB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8D10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771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502D72D1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E35E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5A7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小麦完全成本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BF2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bidi="ar"/>
              </w:rPr>
              <w:t>600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1EC7" w14:textId="77777777" w:rsidR="00D65F34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2.5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94AE" w14:textId="77777777" w:rsidR="00D65F34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AFA0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73DA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4D29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E501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194C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51C774A2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9FA7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C0C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马铃薯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717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62E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3.5%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503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20.3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AB8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AB8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A226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5250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9DFB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4FDAB0B7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4B82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A03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油</w:t>
            </w:r>
            <w:r>
              <w:rPr>
                <w:rStyle w:val="font31"/>
                <w:rFonts w:eastAsia="宋体" w:hint="default"/>
                <w:color w:val="auto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菜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CF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3D7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728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20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0B72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0329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0134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0267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1372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7AA42639" w14:textId="77777777">
        <w:trPr>
          <w:trHeight w:val="33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2E15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87A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能繁母猪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3D4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1500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E4E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1B0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75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B73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654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25%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A29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773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5%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26B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15%</w:t>
            </w:r>
          </w:p>
        </w:tc>
      </w:tr>
      <w:tr w:rsidR="00D65F34" w14:paraId="49293081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608E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E73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育</w:t>
            </w:r>
            <w:r>
              <w:rPr>
                <w:rStyle w:val="font31"/>
                <w:rFonts w:eastAsia="宋体" w:hint="default"/>
                <w:color w:val="auto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肥</w:t>
            </w:r>
            <w:r>
              <w:rPr>
                <w:rStyle w:val="font31"/>
                <w:rFonts w:eastAsia="宋体" w:hint="default"/>
                <w:color w:val="auto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718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800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5EB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C3C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32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E08A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D9A9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05D5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8343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74BC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21D39387" w14:textId="77777777">
        <w:trPr>
          <w:trHeight w:val="33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A765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A20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奶</w:t>
            </w:r>
            <w:r>
              <w:rPr>
                <w:rStyle w:val="font31"/>
                <w:rFonts w:eastAsia="宋体" w:hint="default"/>
                <w:color w:val="auto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01"/>
                <w:color w:val="auto"/>
                <w:sz w:val="22"/>
                <w:szCs w:val="22"/>
                <w:lang w:bidi="ar"/>
              </w:rPr>
              <w:t>牛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078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8000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4CA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6%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E27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480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62CA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D9BE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1941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942C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59B6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574A83D7" w14:textId="77777777">
        <w:trPr>
          <w:trHeight w:val="36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77FC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E57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公益林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290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综合险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EC7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1250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A10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0.24%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062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992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50%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5ED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004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6%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50A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14%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DD8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0%</w:t>
            </w:r>
          </w:p>
        </w:tc>
      </w:tr>
      <w:tr w:rsidR="00D65F34" w14:paraId="2A52BF82" w14:textId="77777777">
        <w:trPr>
          <w:trHeight w:val="33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B11C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6F7D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F2F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火灾险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BE9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1250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0D3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0.16%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65A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991F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069E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9265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12F8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8B9C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34" w14:paraId="075064F5" w14:textId="77777777">
        <w:trPr>
          <w:trHeight w:val="33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9DEA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02F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商品林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436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综合险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C52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1250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FC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0.24%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A26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DC0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C7A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30%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97A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7.50%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8B0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17.50%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95B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15%</w:t>
            </w:r>
          </w:p>
        </w:tc>
      </w:tr>
      <w:tr w:rsidR="00D65F34" w14:paraId="2AFD19E8" w14:textId="77777777">
        <w:trPr>
          <w:trHeight w:val="35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B0B2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5E28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CE9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火灾险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66B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1250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823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0.16%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8A2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ar"/>
              </w:rPr>
              <w:t>2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55B5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288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7D2F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3EA2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610" w14:textId="77777777" w:rsidR="00D65F34" w:rsidRDefault="00D65F34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D7A7CE" w14:textId="77777777" w:rsidR="00D65F34" w:rsidRDefault="00D65F34">
      <w:pPr>
        <w:pStyle w:val="a0"/>
        <w:spacing w:line="560" w:lineRule="exact"/>
      </w:pPr>
    </w:p>
    <w:p w14:paraId="4E4D7176" w14:textId="77777777" w:rsidR="00D65F34" w:rsidRDefault="00000000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注：根据黔财金〔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号、黔财金〔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38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黔财金〔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号文件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，对于中央财政补贴农业保险（不含中央奖补保险），自愿参保的脱贫户及边缘易致贫户免除自缴部分保费。</w:t>
      </w:r>
    </w:p>
    <w:p w14:paraId="0C069DBA" w14:textId="77777777" w:rsidR="00D65F34" w:rsidRDefault="00000000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地方特色险种</w:t>
      </w:r>
    </w:p>
    <w:p w14:paraId="74DDA496" w14:textId="77777777" w:rsidR="00D65F34" w:rsidRDefault="00000000">
      <w:pPr>
        <w:pStyle w:val="a0"/>
        <w:spacing w:line="560" w:lineRule="exact"/>
        <w:ind w:leftChars="0" w:left="0"/>
        <w:jc w:val="right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                                      </w:t>
      </w:r>
      <w:r>
        <w:rPr>
          <w:rFonts w:ascii="Times New Roman" w:eastAsia="黑体" w:hAnsi="Times New Roman" w:cs="黑体" w:hint="eastAsia"/>
          <w:sz w:val="24"/>
          <w:szCs w:val="24"/>
        </w:rPr>
        <w:t>单位：元、元</w:t>
      </w:r>
      <w:r>
        <w:rPr>
          <w:rFonts w:ascii="Times New Roman" w:eastAsia="黑体" w:hAnsi="Times New Roman" w:cs="黑体" w:hint="eastAsia"/>
          <w:sz w:val="24"/>
          <w:szCs w:val="24"/>
        </w:rPr>
        <w:t>/</w:t>
      </w:r>
      <w:r>
        <w:rPr>
          <w:rFonts w:ascii="Times New Roman" w:eastAsia="黑体" w:hAnsi="Times New Roman" w:cs="黑体" w:hint="eastAsia"/>
          <w:sz w:val="24"/>
          <w:szCs w:val="24"/>
        </w:rPr>
        <w:t>亩、元</w:t>
      </w:r>
      <w:r>
        <w:rPr>
          <w:rFonts w:ascii="Times New Roman" w:eastAsia="黑体" w:hAnsi="Times New Roman" w:cs="黑体" w:hint="eastAsia"/>
          <w:sz w:val="24"/>
          <w:szCs w:val="24"/>
        </w:rPr>
        <w:t>/</w:t>
      </w:r>
      <w:r>
        <w:rPr>
          <w:rFonts w:ascii="Times New Roman" w:eastAsia="黑体" w:hAnsi="Times New Roman" w:cs="黑体" w:hint="eastAsia"/>
          <w:sz w:val="24"/>
          <w:szCs w:val="24"/>
        </w:rPr>
        <w:t>头</w:t>
      </w:r>
    </w:p>
    <w:tbl>
      <w:tblPr>
        <w:tblW w:w="966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56"/>
        <w:gridCol w:w="829"/>
        <w:gridCol w:w="703"/>
        <w:gridCol w:w="1256"/>
        <w:gridCol w:w="1256"/>
        <w:gridCol w:w="1276"/>
        <w:gridCol w:w="1256"/>
        <w:gridCol w:w="1256"/>
        <w:gridCol w:w="1376"/>
      </w:tblGrid>
      <w:tr w:rsidR="00D65F34" w14:paraId="77DAB7CA" w14:textId="77777777">
        <w:trPr>
          <w:trHeight w:val="560"/>
        </w:trPr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FB4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品种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15D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费率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5F0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保额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508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保费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13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省级财政补贴</w:t>
            </w:r>
            <w:r>
              <w:rPr>
                <w:rFonts w:ascii="Times New Roman" w:eastAsia="黑体" w:hAnsi="Times New Roman"/>
                <w:lang w:bidi="ar"/>
              </w:rPr>
              <w:t>40</w:t>
            </w:r>
            <w:r>
              <w:rPr>
                <w:rFonts w:ascii="黑体" w:eastAsia="黑体" w:hAnsi="宋体" w:cs="黑体" w:hint="eastAsia"/>
                <w:lang w:bidi="ar"/>
              </w:rPr>
              <w:t>%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511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市级财政补贴</w:t>
            </w:r>
            <w:r>
              <w:rPr>
                <w:rFonts w:ascii="Times New Roman" w:eastAsia="黑体" w:hAnsi="Times New Roman"/>
                <w:lang w:bidi="ar"/>
              </w:rPr>
              <w:t>20</w:t>
            </w:r>
            <w:r>
              <w:rPr>
                <w:rFonts w:ascii="黑体" w:eastAsia="黑体" w:hAnsi="宋体" w:cs="黑体" w:hint="eastAsia"/>
                <w:lang w:bidi="ar"/>
              </w:rPr>
              <w:t>%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D732" w14:textId="77777777" w:rsidR="00D65F34" w:rsidRDefault="00000000">
            <w:pPr>
              <w:spacing w:line="560" w:lineRule="exact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县级财政 补贴</w:t>
            </w:r>
            <w:r>
              <w:rPr>
                <w:rFonts w:ascii="Times New Roman" w:eastAsia="黑体" w:hAnsi="Times New Roman"/>
                <w:lang w:bidi="ar"/>
              </w:rPr>
              <w:t>10</w:t>
            </w:r>
            <w:r>
              <w:rPr>
                <w:rFonts w:ascii="黑体" w:eastAsia="黑体" w:hAnsi="宋体" w:cs="黑体" w:hint="eastAsia"/>
                <w:lang w:bidi="ar"/>
              </w:rPr>
              <w:t>%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773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bidi="ar"/>
              </w:rPr>
              <w:t>经营主体  自缴</w:t>
            </w:r>
            <w:r>
              <w:rPr>
                <w:rFonts w:ascii="Times New Roman" w:eastAsia="黑体" w:hAnsi="Times New Roman"/>
                <w:lang w:bidi="ar"/>
              </w:rPr>
              <w:t>30</w:t>
            </w:r>
            <w:r>
              <w:rPr>
                <w:rFonts w:ascii="黑体" w:eastAsia="黑体" w:hAnsi="宋体" w:cs="黑体" w:hint="eastAsia"/>
                <w:lang w:bidi="ar"/>
              </w:rPr>
              <w:t>%</w:t>
            </w:r>
          </w:p>
        </w:tc>
      </w:tr>
      <w:tr w:rsidR="00D65F34" w14:paraId="4A6ED4CC" w14:textId="77777777">
        <w:trPr>
          <w:trHeight w:val="560"/>
        </w:trPr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BF8A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CE0E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960C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3596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8332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0ED9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7412" w14:textId="77777777" w:rsidR="00D65F34" w:rsidRDefault="00D65F34">
            <w:pPr>
              <w:spacing w:line="560" w:lineRule="exact"/>
              <w:rPr>
                <w:rFonts w:ascii="黑体" w:eastAsia="黑体" w:hAnsi="宋体" w:cs="黑体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BD31" w14:textId="77777777" w:rsidR="00D65F34" w:rsidRDefault="00D65F34">
            <w:pPr>
              <w:spacing w:line="560" w:lineRule="exact"/>
              <w:jc w:val="center"/>
              <w:rPr>
                <w:rFonts w:ascii="黑体" w:eastAsia="黑体" w:hAnsi="宋体" w:cs="黑体"/>
              </w:rPr>
            </w:pPr>
          </w:p>
        </w:tc>
      </w:tr>
      <w:tr w:rsidR="00D65F34" w14:paraId="329BAC8E" w14:textId="77777777">
        <w:trPr>
          <w:trHeight w:val="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615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水果类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082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梨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30F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2BD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6C2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163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173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888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94A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48</w:t>
            </w:r>
          </w:p>
        </w:tc>
      </w:tr>
      <w:tr w:rsidR="00D65F34" w14:paraId="223D63CD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9928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57A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李、桃、猕猴桃、百香果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0CB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9B2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BBA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D94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2F1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39B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938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42</w:t>
            </w:r>
          </w:p>
        </w:tc>
      </w:tr>
      <w:tr w:rsidR="00D65F34" w14:paraId="42EC3BDA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232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800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葡萄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211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A6E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3F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784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38.4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1ED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19.2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238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9.6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9F3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28.8</w:t>
            </w:r>
          </w:p>
        </w:tc>
      </w:tr>
      <w:tr w:rsidR="00D65F34" w14:paraId="75CB09CF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F47B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0E2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吊瓜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484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E8F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354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0EC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AE0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06C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18B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31.5</w:t>
            </w:r>
          </w:p>
        </w:tc>
      </w:tr>
      <w:tr w:rsidR="00D65F34" w14:paraId="31A3A865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53C5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72E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其他水果类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B71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50F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A6E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25A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38.4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CF9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19.2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803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9.6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ABE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28.8</w:t>
            </w:r>
          </w:p>
        </w:tc>
      </w:tr>
      <w:tr w:rsidR="00D65F34" w14:paraId="422EADC2" w14:textId="77777777">
        <w:trPr>
          <w:trHeight w:val="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09D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油茶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BDE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第1年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E1F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B08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DED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E57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1BD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BD0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D9C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</w:t>
            </w:r>
          </w:p>
        </w:tc>
      </w:tr>
      <w:tr w:rsidR="00D65F34" w14:paraId="2BDB3F45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D3DB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D0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第2年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854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258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329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909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9.6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8EE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078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07E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7.2</w:t>
            </w:r>
          </w:p>
        </w:tc>
      </w:tr>
      <w:tr w:rsidR="00D65F34" w14:paraId="7F607961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0F90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C47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第3年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785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B35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1BB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9A3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F0F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39E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3.2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F90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9.6</w:t>
            </w:r>
          </w:p>
        </w:tc>
      </w:tr>
      <w:tr w:rsidR="00D65F34" w14:paraId="03A4CA47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82A3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7F8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第4年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4A5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F10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6CD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79B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7CD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FF8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931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</w:t>
            </w:r>
          </w:p>
        </w:tc>
      </w:tr>
      <w:tr w:rsidR="00D65F34" w14:paraId="7EC0563C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AF00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8F7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第5-8年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4A0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D62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117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57B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5AD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209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868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18</w:t>
            </w:r>
          </w:p>
        </w:tc>
      </w:tr>
      <w:tr w:rsidR="00D65F34" w14:paraId="566FDF9B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254C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A4D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8年后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540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7A2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1F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03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DF5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BDE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5B0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22.5</w:t>
            </w:r>
          </w:p>
        </w:tc>
      </w:tr>
      <w:tr w:rsidR="00D65F34" w14:paraId="1042CF3C" w14:textId="77777777">
        <w:trPr>
          <w:trHeight w:val="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2E0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蔬菜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970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食用菌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F05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ED2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3500-8000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164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175-400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01A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70-160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1A1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35-80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D31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17.5-40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2BA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52.5-120</w:t>
            </w:r>
          </w:p>
        </w:tc>
      </w:tr>
      <w:tr w:rsidR="00D65F34" w14:paraId="3A6693CE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E64B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BF9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蔬菜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A0F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B65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800-2500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F6B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40-175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1BF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16-70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8AB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8-35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0F4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4-17.5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35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12-52.5</w:t>
            </w:r>
          </w:p>
        </w:tc>
      </w:tr>
      <w:tr w:rsidR="00D65F34" w14:paraId="4362A66A" w14:textId="77777777">
        <w:trPr>
          <w:trHeight w:val="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18B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中药材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AD8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太子参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ACD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DF1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88B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E5D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96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2B9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1B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BE7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72</w:t>
            </w:r>
          </w:p>
        </w:tc>
      </w:tr>
      <w:tr w:rsidR="00D65F34" w14:paraId="58558600" w14:textId="77777777">
        <w:trPr>
          <w:trHeight w:val="1396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04A7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53D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其他中草药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F21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27E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A05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088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4F3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278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25C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48</w:t>
            </w:r>
          </w:p>
        </w:tc>
      </w:tr>
      <w:tr w:rsidR="00D65F34" w14:paraId="23E8621D" w14:textId="77777777">
        <w:trPr>
          <w:trHeight w:val="1991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97D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牛（耕牛、肉牛、母牛、种牛）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391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744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E63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BF5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48C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711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8F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150</w:t>
            </w:r>
          </w:p>
        </w:tc>
      </w:tr>
      <w:tr w:rsidR="00D65F34" w14:paraId="52C9B393" w14:textId="77777777">
        <w:trPr>
          <w:trHeight w:val="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C44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生猪扑杀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DE8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能繁母猪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380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639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ED3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700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CCD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10.5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077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5.25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AAD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15.75</w:t>
            </w:r>
          </w:p>
        </w:tc>
      </w:tr>
      <w:tr w:rsidR="00D65F34" w14:paraId="14A69C51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F475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EF1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育肥猪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17B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45D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FC7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82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16.8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6F7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76F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4.2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748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12.6</w:t>
            </w:r>
          </w:p>
        </w:tc>
      </w:tr>
      <w:tr w:rsidR="00D65F34" w14:paraId="45E9861A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7C2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lastRenderedPageBreak/>
              <w:t>生猪价格指数保险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F53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A51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1300-3640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0FD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58.5-163.8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671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23.4-65-52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435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11.7-32.76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D2C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5.85-16.38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D22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17.55-49.14</w:t>
            </w:r>
          </w:p>
        </w:tc>
      </w:tr>
      <w:tr w:rsidR="00D65F34" w14:paraId="1579A1D6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5C0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蛋鸡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38F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1D5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76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676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A11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60D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4F1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0.3</w:t>
            </w:r>
          </w:p>
        </w:tc>
      </w:tr>
      <w:tr w:rsidR="00D65F34" w14:paraId="0C2327E3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53F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肉鸡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715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EB0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69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B2C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0.348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3E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0.174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BBB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0.087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3DA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0.261</w:t>
            </w:r>
          </w:p>
        </w:tc>
      </w:tr>
      <w:tr w:rsidR="00D65F34" w14:paraId="2714B9BF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E39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特色肉鸡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E80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2.50%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621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C44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DE8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380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63A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0.075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CD2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0.225</w:t>
            </w:r>
          </w:p>
        </w:tc>
      </w:tr>
      <w:tr w:rsidR="00D65F34" w14:paraId="1FB31A50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A70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辣椒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C52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5.00%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74E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DF4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1EA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C1A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1D1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858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18</w:t>
            </w:r>
          </w:p>
        </w:tc>
      </w:tr>
      <w:tr w:rsidR="00D65F34" w14:paraId="312C54F6" w14:textId="77777777">
        <w:trPr>
          <w:trHeight w:val="9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295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蔬菜价格指数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850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线椒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A99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372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2400-3600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C45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120-180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154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48-72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E5D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24-36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20A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12-18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8AD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36-54</w:t>
            </w:r>
          </w:p>
        </w:tc>
      </w:tr>
      <w:tr w:rsidR="00D65F34" w14:paraId="59A7DFB9" w14:textId="77777777">
        <w:trPr>
          <w:trHeight w:val="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1D77" w14:textId="77777777" w:rsidR="00D65F34" w:rsidRDefault="00D65F34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054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朝天椒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F3E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6B2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3600-4400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FA8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180-220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CF1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72-88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4CF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36-44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897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18-22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326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54-66</w:t>
            </w:r>
          </w:p>
        </w:tc>
      </w:tr>
      <w:tr w:rsidR="00D65F34" w14:paraId="439417D2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9B4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其他粮食作物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52F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2CA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780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8653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28.8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F99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14.4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FA3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7.2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790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21.6</w:t>
            </w:r>
          </w:p>
        </w:tc>
      </w:tr>
      <w:tr w:rsidR="00D65F34" w14:paraId="41E0B286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A1D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蔬菜气象指数保险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903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634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16A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E4E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25.6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01A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92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6.4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90E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19.2</w:t>
            </w:r>
          </w:p>
        </w:tc>
      </w:tr>
      <w:tr w:rsidR="00D65F34" w14:paraId="429F5FCB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8DA7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淡水鱼保险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2AB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8%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842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10000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B0C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59C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EED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E69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9D4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225</w:t>
            </w:r>
          </w:p>
        </w:tc>
      </w:tr>
      <w:tr w:rsidR="00D65F34" w14:paraId="4EA5158E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BA6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油菜种植完</w:t>
            </w:r>
            <w:r>
              <w:rPr>
                <w:rFonts w:ascii="宋体" w:hAnsi="宋体" w:cs="宋体" w:hint="eastAsia"/>
                <w:lang w:bidi="ar"/>
              </w:rPr>
              <w:lastRenderedPageBreak/>
              <w:t>全成本保险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5098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lastRenderedPageBreak/>
              <w:t>4%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BA3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0E59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1B5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4.8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A1A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5.4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87F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C67B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1.8</w:t>
            </w:r>
          </w:p>
        </w:tc>
      </w:tr>
      <w:tr w:rsidR="00D65F34" w14:paraId="2444EA4C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BD42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茶叶低温气象指数保险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4A3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22F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91B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D84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D73E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341F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77D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18</w:t>
            </w:r>
          </w:p>
        </w:tc>
      </w:tr>
      <w:tr w:rsidR="00D65F34" w14:paraId="191F6C63" w14:textId="77777777">
        <w:trPr>
          <w:trHeight w:val="90"/>
        </w:trPr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2201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茶叶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4345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5%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B624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483C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18BD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D690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2C3A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85B6" w14:textId="77777777" w:rsidR="00D65F34" w:rsidRDefault="00000000"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ar"/>
              </w:rPr>
              <w:t>18</w:t>
            </w:r>
          </w:p>
        </w:tc>
      </w:tr>
    </w:tbl>
    <w:p w14:paraId="658DE090" w14:textId="77777777" w:rsidR="00D65F34" w:rsidRDefault="00D65F34">
      <w:pPr>
        <w:spacing w:line="560" w:lineRule="exact"/>
      </w:pPr>
    </w:p>
    <w:p w14:paraId="0EECE2E9" w14:textId="745DABED" w:rsidR="00D65F34" w:rsidRDefault="00000000">
      <w:pPr>
        <w:widowControl w:val="0"/>
        <w:snapToGrid w:val="0"/>
        <w:spacing w:line="56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梨、李、桃果树保额为</w:t>
      </w:r>
      <w:r>
        <w:rPr>
          <w:rFonts w:ascii="Times New Roman" w:eastAsia="仿宋" w:hAnsi="Times New Roman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元，果实保额为</w:t>
      </w:r>
      <w:r>
        <w:rPr>
          <w:rFonts w:ascii="Times New Roman" w:eastAsia="仿宋" w:hAnsi="Times New Roman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元,猕猴桃果树保额为800元，果实保额为1200元；葡萄、刺梨果树保额为200元，果实保额为1000元；百香果果树保额为</w:t>
      </w:r>
      <w:r>
        <w:rPr>
          <w:rFonts w:ascii="Times New Roman" w:eastAsia="仿宋" w:hAnsi="Times New Roman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元，果实保额为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8</w:t>
      </w:r>
      <w:r>
        <w:rPr>
          <w:rFonts w:ascii="Times New Roman" w:eastAsia="仿宋" w:hAnsi="Times New Roman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元；吊瓜果树保额为</w:t>
      </w:r>
      <w:r>
        <w:rPr>
          <w:rFonts w:ascii="Times New Roman" w:eastAsia="仿宋" w:hAnsi="Times New Roman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元，果实保额为</w:t>
      </w:r>
      <w:r>
        <w:rPr>
          <w:rFonts w:ascii="Times New Roman" w:eastAsia="仿宋" w:hAnsi="Times New Roman" w:hint="eastAsia"/>
          <w:sz w:val="28"/>
          <w:szCs w:val="28"/>
        </w:rPr>
        <w:t>1300</w:t>
      </w:r>
      <w:r>
        <w:rPr>
          <w:rFonts w:ascii="仿宋" w:eastAsia="仿宋" w:hAnsi="仿宋" w:cs="仿宋" w:hint="eastAsia"/>
          <w:sz w:val="28"/>
          <w:szCs w:val="28"/>
        </w:rPr>
        <w:t>元；油茶及其他蔬菜类</w:t>
      </w:r>
      <w:r w:rsidR="00C62F47">
        <w:rPr>
          <w:rFonts w:ascii="仿宋" w:eastAsia="仿宋" w:hAnsi="仿宋" w:cs="仿宋" w:hint="eastAsia"/>
          <w:sz w:val="28"/>
          <w:szCs w:val="28"/>
        </w:rPr>
        <w:t>详</w:t>
      </w:r>
      <w:r>
        <w:rPr>
          <w:rFonts w:ascii="仿宋" w:eastAsia="仿宋" w:hAnsi="仿宋" w:cs="仿宋" w:hint="eastAsia"/>
          <w:sz w:val="28"/>
          <w:szCs w:val="28"/>
        </w:rPr>
        <w:t>见附件条款。</w:t>
      </w:r>
    </w:p>
    <w:p w14:paraId="30C9BC05" w14:textId="77777777" w:rsidR="00D65F34" w:rsidRDefault="00000000">
      <w:pPr>
        <w:autoSpaceDE w:val="0"/>
        <w:autoSpaceDN w:val="0"/>
        <w:snapToGrid w:val="0"/>
        <w:spacing w:line="540" w:lineRule="exact"/>
        <w:ind w:firstLineChars="200" w:firstLine="640"/>
        <w:jc w:val="left"/>
        <w:outlineLvl w:val="0"/>
        <w:rPr>
          <w:rFonts w:ascii="Times New Roman" w:eastAsia="黑体" w:hAnsi="Times New Roman" w:cs="黑体"/>
          <w:kern w:val="36"/>
          <w:sz w:val="32"/>
          <w:szCs w:val="32"/>
        </w:rPr>
      </w:pPr>
      <w:r>
        <w:rPr>
          <w:rFonts w:ascii="Times New Roman" w:eastAsia="黑体" w:hAnsi="Times New Roman" w:cs="黑体" w:hint="eastAsia"/>
          <w:kern w:val="36"/>
          <w:sz w:val="32"/>
          <w:szCs w:val="32"/>
        </w:rPr>
        <w:t>四、保障措施</w:t>
      </w:r>
    </w:p>
    <w:p w14:paraId="463EC835" w14:textId="77777777" w:rsidR="00D65F34" w:rsidRDefault="00000000">
      <w:pPr>
        <w:autoSpaceDE w:val="0"/>
        <w:autoSpaceDN w:val="0"/>
        <w:snapToGrid w:val="0"/>
        <w:spacing w:line="540" w:lineRule="exact"/>
        <w:ind w:firstLineChars="200" w:firstLine="640"/>
        <w:jc w:val="left"/>
        <w:outlineLvl w:val="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（一）强化组织领导</w:t>
      </w:r>
    </w:p>
    <w:p w14:paraId="71938287" w14:textId="77777777" w:rsidR="00D65F34" w:rsidRDefault="00000000">
      <w:pPr>
        <w:autoSpaceDE w:val="0"/>
        <w:autoSpaceDN w:val="0"/>
        <w:snapToGrid w:val="0"/>
        <w:spacing w:line="540" w:lineRule="exact"/>
        <w:ind w:firstLineChars="200" w:firstLine="640"/>
        <w:jc w:val="left"/>
        <w:outlineLvl w:val="0"/>
        <w:rPr>
          <w:rFonts w:ascii="Times New Roman" w:eastAsia="仿宋_GB2312" w:hAnsi="Times New Roman" w:cs="仿宋_GB2312"/>
          <w:kern w:val="36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6"/>
          <w:sz w:val="32"/>
          <w:szCs w:val="32"/>
        </w:rPr>
        <w:t>为进一步加强对全市农业保险工作的组织领导，</w:t>
      </w:r>
      <w:r>
        <w:rPr>
          <w:rFonts w:ascii="Times New Roman" w:eastAsia="仿宋_GB2312" w:hAnsi="Times New Roman" w:cs="仿宋_GB2312" w:hint="eastAsia"/>
          <w:spacing w:val="8"/>
          <w:sz w:val="32"/>
          <w:szCs w:val="32"/>
        </w:rPr>
        <w:t>根据人员工作需要，</w:t>
      </w:r>
      <w:r>
        <w:rPr>
          <w:rFonts w:ascii="Times New Roman" w:eastAsia="仿宋_GB2312" w:hAnsi="Times New Roman" w:cs="仿宋_GB2312" w:hint="eastAsia"/>
          <w:kern w:val="36"/>
          <w:sz w:val="32"/>
          <w:szCs w:val="32"/>
        </w:rPr>
        <w:t>市农业保险工作领导小组调整如下：</w:t>
      </w:r>
    </w:p>
    <w:p w14:paraId="430356C0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250" w:firstLine="80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组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长：冯发金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市委常委、市政府常务副市长</w:t>
      </w:r>
    </w:p>
    <w:p w14:paraId="7223D831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250" w:firstLine="80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副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组长：徐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稳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/>
          <w:sz w:val="32"/>
          <w:szCs w:val="32"/>
        </w:rPr>
        <w:t>人民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政府副市长</w:t>
      </w:r>
    </w:p>
    <w:p w14:paraId="6429C4D6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250" w:firstLine="80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成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员：何兰智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市水务局局长</w:t>
      </w:r>
    </w:p>
    <w:p w14:paraId="31713B75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聂坤前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市政府办主任</w:t>
      </w:r>
    </w:p>
    <w:p w14:paraId="6002B8B1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市发展改革局局长</w:t>
      </w:r>
    </w:p>
    <w:p w14:paraId="63743930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陈绍伟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市财政局局长</w:t>
      </w:r>
    </w:p>
    <w:p w14:paraId="7CC2CCF0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胡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市农业农村局局长</w:t>
      </w:r>
    </w:p>
    <w:p w14:paraId="583CFF9C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李卫军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市林业局局长</w:t>
      </w:r>
    </w:p>
    <w:p w14:paraId="3726D738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</w:pPr>
      <w:r>
        <w:rPr>
          <w:rFonts w:ascii="Times New Roman" w:eastAsia="仿宋_GB2312" w:hAnsi="Times New Roman" w:cs="仿宋_GB2312" w:hint="eastAsia"/>
          <w:sz w:val="32"/>
          <w:szCs w:val="32"/>
        </w:rPr>
        <w:t>叶维维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/>
          <w:sz w:val="32"/>
          <w:szCs w:val="32"/>
        </w:rPr>
        <w:t>市国资金融中心主任</w:t>
      </w:r>
    </w:p>
    <w:p w14:paraId="681B471F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梁正安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国家金融监督管理总局福泉监管支局</w:t>
      </w:r>
    </w:p>
    <w:p w14:paraId="798470E9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阮洪福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/>
          <w:sz w:val="32"/>
          <w:szCs w:val="32"/>
        </w:rPr>
        <w:t>福泉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气象局局长</w:t>
      </w:r>
    </w:p>
    <w:p w14:paraId="68EC9620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2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张连杰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平安产险福泉支公司总经理</w:t>
      </w:r>
    </w:p>
    <w:p w14:paraId="574830A6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700" w:firstLine="2156"/>
        <w:jc w:val="left"/>
        <w:rPr>
          <w:rFonts w:ascii="Times New Roman" w:eastAsia="仿宋_GB2312" w:hAnsi="Times New Roman" w:cs="仿宋_GB2312"/>
          <w:spacing w:val="-6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各乡镇（街道）人民政府（办事处）主要负责同志</w:t>
      </w:r>
    </w:p>
    <w:p w14:paraId="077F4725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领导小组下设办公室在市财政局，由陈绍伟同志兼任办公室主任，胡玉、李卫军两位同志兼任办公室副主任，负责具体组织、实施、调度、考核农业保险工作，负责</w:t>
      </w:r>
      <w:r>
        <w:rPr>
          <w:rFonts w:ascii="Times New Roman" w:eastAsia="仿宋_GB2312" w:hAnsi="Times New Roman"/>
          <w:sz w:val="32"/>
          <w:szCs w:val="32"/>
        </w:rPr>
        <w:t>组织重大事项协调和组织专家进行争议仲裁等工作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定期召开农业保险工作联席会议，协调解决工作中存在的实际困难和问题。办公室不刻制印章，如因工作需要，由市财政局代章。在此方案更新前，领导小组成员如发生变化，按调整后的人员自然替补，不再另行文。</w:t>
      </w:r>
    </w:p>
    <w:p w14:paraId="38D90D11" w14:textId="77777777" w:rsidR="00D65F34" w:rsidRDefault="00000000">
      <w:pPr>
        <w:widowControl w:val="0"/>
        <w:wordWrap w:val="0"/>
        <w:snapToGrid w:val="0"/>
        <w:spacing w:line="540" w:lineRule="exact"/>
        <w:ind w:firstLineChars="195" w:firstLine="624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（二）明确工作职责。</w:t>
      </w:r>
      <w:r>
        <w:rPr>
          <w:rFonts w:ascii="Times New Roman" w:eastAsia="仿宋_GB2312" w:hAnsi="Times New Roman"/>
          <w:sz w:val="32"/>
          <w:szCs w:val="32"/>
        </w:rPr>
        <w:t>推进农业保险工作是一项事关广大农民切身利益的重要工程，涉及面广、工作量大、政策性强。各有关部门（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）和乡镇（街道）要明确分工、各司其职、密切配合</w:t>
      </w:r>
      <w:r>
        <w:rPr>
          <w:rFonts w:ascii="Times New Roman" w:eastAsia="仿宋_GB2312" w:hAnsi="Times New Roman" w:cs="仿宋_GB2312"/>
          <w:sz w:val="32"/>
          <w:szCs w:val="32"/>
        </w:rPr>
        <w:t>、协同推进。</w:t>
      </w:r>
    </w:p>
    <w:p w14:paraId="79D7089C" w14:textId="77777777" w:rsidR="00D65F34" w:rsidRDefault="00000000">
      <w:pPr>
        <w:pStyle w:val="1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市财政局：负责统筹推进全市政策性农业保险工作，动态跟踪检查工作进展情况，及时报请联席会议组织研究实施过程中出现的问题和困难；</w:t>
      </w:r>
      <w:r>
        <w:rPr>
          <w:rFonts w:ascii="Times New Roman" w:eastAsia="仿宋_GB2312" w:hAnsi="Times New Roman" w:cs="仿宋_GB2312"/>
          <w:sz w:val="32"/>
          <w:szCs w:val="32"/>
        </w:rPr>
        <w:t>做好农业保险保费补贴资金的筹集、拨付、结算、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审</w:t>
      </w:r>
      <w:r>
        <w:rPr>
          <w:rFonts w:ascii="Times New Roman" w:eastAsia="仿宋_GB2312" w:hAnsi="Times New Roman" w:cs="仿宋_GB2312"/>
          <w:sz w:val="32"/>
          <w:szCs w:val="32"/>
        </w:rPr>
        <w:t>核等工作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加强对农业保险保费补贴资金的监管。</w:t>
      </w:r>
    </w:p>
    <w:p w14:paraId="497234CB" w14:textId="77777777" w:rsidR="00D65F34" w:rsidRDefault="00000000">
      <w:pPr>
        <w:pStyle w:val="1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市农业农村局、市林业局：负责各自行业管辖范围内农业保险险种的整体推进、组织协调、管理监督、指导服务、保险纠纷协调和仲裁；负责各自业务管辖范围内农业保险保费补贴资金核查；负责贵州省农业保险综合信息服务平台的数据审核，登记农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业保险保费收支台账；提供本行业农业基础数据，宣传引导、组织本行业农业生产经营者投保；明确专人协助做好承保、查勘、定损、理赔等工作，审核保险承办机构提交的农业保险数据；建立健全资金绩效目标管理体系和评价机制，对农业保险保费补贴资金开展全过程绩效管理。</w:t>
      </w:r>
      <w:r>
        <w:rPr>
          <w:rFonts w:ascii="Times New Roman" w:eastAsia="仿宋_GB2312" w:hAnsi="Times New Roman" w:cs="仿宋_GB2312"/>
          <w:sz w:val="32"/>
          <w:szCs w:val="32"/>
        </w:rPr>
        <w:t>报请工作领导小组组织研究实施过程中出现的问题和困难，提出相应的对策建议并按联席会议决定的事项加以落实。</w:t>
      </w:r>
    </w:p>
    <w:p w14:paraId="3D602DC8" w14:textId="77777777" w:rsidR="00D65F34" w:rsidRDefault="00000000">
      <w:pPr>
        <w:widowControl w:val="0"/>
        <w:wordWrap w:val="0"/>
        <w:snapToGrid w:val="0"/>
        <w:spacing w:line="540" w:lineRule="exact"/>
        <w:ind w:firstLineChars="195" w:firstLine="624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市乡村振兴局：</w:t>
      </w:r>
      <w:r>
        <w:rPr>
          <w:rFonts w:ascii="Times New Roman" w:eastAsia="仿宋_GB2312" w:hAnsi="Times New Roman" w:cs="仿宋_GB2312"/>
          <w:sz w:val="32"/>
          <w:szCs w:val="32"/>
        </w:rPr>
        <w:t>负责提供全市范围内</w:t>
      </w:r>
      <w:r>
        <w:rPr>
          <w:rFonts w:ascii="Times New Roman" w:eastAsia="仿宋_GB2312" w:hAnsi="Times New Roman" w:cs="仿宋_GB2312" w:hint="eastAsia"/>
          <w:sz w:val="32"/>
          <w:szCs w:val="32"/>
        </w:rPr>
        <w:t>脱贫</w:t>
      </w:r>
      <w:r>
        <w:rPr>
          <w:rFonts w:ascii="Times New Roman" w:eastAsia="仿宋_GB2312" w:hAnsi="Times New Roman" w:cs="仿宋_GB2312"/>
          <w:sz w:val="32"/>
          <w:szCs w:val="32"/>
        </w:rPr>
        <w:t>户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、边缘易致贫户</w:t>
      </w:r>
      <w:r>
        <w:rPr>
          <w:rFonts w:ascii="Times New Roman" w:eastAsia="仿宋_GB2312" w:hAnsi="Times New Roman" w:cs="仿宋_GB2312"/>
          <w:sz w:val="32"/>
          <w:szCs w:val="32"/>
        </w:rPr>
        <w:t>清单，根据需要核实参保</w:t>
      </w:r>
      <w:r>
        <w:rPr>
          <w:rFonts w:ascii="Times New Roman" w:eastAsia="仿宋_GB2312" w:hAnsi="Times New Roman" w:cs="仿宋_GB2312" w:hint="eastAsia"/>
          <w:sz w:val="32"/>
          <w:szCs w:val="32"/>
        </w:rPr>
        <w:t>脱贫</w:t>
      </w:r>
      <w:r>
        <w:rPr>
          <w:rFonts w:ascii="Times New Roman" w:eastAsia="仿宋_GB2312" w:hAnsi="Times New Roman" w:cs="仿宋_GB2312"/>
          <w:sz w:val="32"/>
          <w:szCs w:val="32"/>
        </w:rPr>
        <w:t>户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、边缘易致贫户</w:t>
      </w:r>
      <w:r>
        <w:rPr>
          <w:rFonts w:ascii="Times New Roman" w:eastAsia="仿宋_GB2312" w:hAnsi="Times New Roman" w:cs="仿宋_GB2312"/>
          <w:sz w:val="32"/>
          <w:szCs w:val="32"/>
        </w:rPr>
        <w:t>，协助并支持经办机构开发满足贫困地区、贫困人口保障需求的扶贫保险产品。</w:t>
      </w:r>
    </w:p>
    <w:p w14:paraId="2DC929EC" w14:textId="77777777" w:rsidR="00D65F34" w:rsidRDefault="00000000">
      <w:pPr>
        <w:autoSpaceDE w:val="0"/>
        <w:autoSpaceDN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>
        <w:rPr>
          <w:rFonts w:ascii="Times New Roman" w:eastAsia="仿宋_GB2312" w:hAnsi="Times New Roman" w:cs="仿宋_GB2312"/>
          <w:sz w:val="32"/>
          <w:szCs w:val="32"/>
        </w:rPr>
        <w:t>发展改革</w:t>
      </w:r>
      <w:r>
        <w:rPr>
          <w:rFonts w:ascii="Times New Roman" w:eastAsia="仿宋_GB2312" w:hAnsi="Times New Roman" w:cs="仿宋_GB2312" w:hint="eastAsia"/>
          <w:sz w:val="32"/>
          <w:szCs w:val="32"/>
        </w:rPr>
        <w:t>局：负责建立和完善农产品离地价格监测指标体系，协助开展农产品目标价格保险，做好相应的农产品市场价格日常监测和发布。</w:t>
      </w:r>
    </w:p>
    <w:p w14:paraId="195A1B87" w14:textId="77777777" w:rsidR="00D65F34" w:rsidRDefault="00000000">
      <w:pPr>
        <w:autoSpaceDE w:val="0"/>
        <w:autoSpaceDN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州</w:t>
      </w:r>
      <w:r>
        <w:rPr>
          <w:rFonts w:ascii="Times New Roman" w:eastAsia="仿宋_GB2312" w:hAnsi="Times New Roman" w:cs="仿宋_GB2312" w:hint="eastAsia"/>
          <w:sz w:val="32"/>
          <w:szCs w:val="32"/>
        </w:rPr>
        <w:t>银保监分局福泉监管组：负责指导保险承办机构开展农业保险业务，依法查处农业保险违法违规经营行为，切实维护被保险人的合法权益及农业保险市场秩序。</w:t>
      </w:r>
    </w:p>
    <w:p w14:paraId="30DEC6E3" w14:textId="77777777" w:rsidR="00D65F34" w:rsidRDefault="00000000">
      <w:pPr>
        <w:autoSpaceDE w:val="0"/>
        <w:autoSpaceDN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市国资金融中心：协助推进全市政策性农业保险工作。</w:t>
      </w:r>
    </w:p>
    <w:p w14:paraId="6D80B8D2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福泉</w:t>
      </w:r>
      <w:r>
        <w:rPr>
          <w:rFonts w:ascii="Times New Roman" w:eastAsia="仿宋_GB2312" w:hAnsi="Times New Roman" w:cs="仿宋_GB2312" w:hint="eastAsia"/>
          <w:sz w:val="32"/>
          <w:szCs w:val="32"/>
        </w:rPr>
        <w:t>气象局：负责农业保险产品中长期气候资料发布工作，提前预报短期恶劣气候对农业保险产品可能造成的危害，参与定损工作，出具灾害期间气象证明。</w:t>
      </w:r>
    </w:p>
    <w:p w14:paraId="7E3F3FA1" w14:textId="77777777" w:rsidR="00D65F34" w:rsidRDefault="00000000">
      <w:pPr>
        <w:widowControl w:val="0"/>
        <w:autoSpaceDE w:val="0"/>
        <w:autoSpaceDN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市水务局：协助农业保险区域内的水灾、旱灾定损工作。</w:t>
      </w:r>
    </w:p>
    <w:p w14:paraId="5B7900B1" w14:textId="77777777" w:rsidR="00D65F34" w:rsidRDefault="00000000">
      <w:pPr>
        <w:pStyle w:val="1"/>
        <w:snapToGrid w:val="0"/>
        <w:spacing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各乡镇（街道）：成立农业保险协调工作小组，结合本地特色产业发展情况，制定农险工作方案，明确专人负责；</w:t>
      </w:r>
      <w:r>
        <w:rPr>
          <w:rFonts w:ascii="Times New Roman" w:eastAsia="仿宋_GB2312" w:hAnsi="Times New Roman" w:cs="仿宋_GB2312"/>
          <w:sz w:val="32"/>
          <w:szCs w:val="32"/>
        </w:rPr>
        <w:t>负责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对</w:t>
      </w:r>
      <w:r>
        <w:rPr>
          <w:rFonts w:ascii="Times New Roman" w:eastAsia="仿宋_GB2312" w:hAnsi="Times New Roman" w:cs="仿宋_GB2312"/>
          <w:sz w:val="32"/>
          <w:szCs w:val="32"/>
        </w:rPr>
        <w:t>本</w:t>
      </w:r>
      <w:r>
        <w:rPr>
          <w:rFonts w:ascii="Times New Roman" w:eastAsia="仿宋_GB2312" w:hAnsi="Times New Roman" w:cs="仿宋_GB2312"/>
          <w:sz w:val="32"/>
          <w:szCs w:val="32"/>
        </w:rPr>
        <w:lastRenderedPageBreak/>
        <w:t>辖区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内符合参保条件农户、企业进行宣传、动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员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推动辖区内农户、企业统一向保险公司投保，填写保险清册、建立档案管理，确保完成辖区内适宜参保任务指标。各乡镇（街道）农业服务中心要协助</w:t>
      </w:r>
      <w:r>
        <w:rPr>
          <w:rFonts w:ascii="Times New Roman" w:eastAsia="仿宋_GB2312" w:hAnsi="Times New Roman" w:cs="Times New Roman"/>
          <w:sz w:val="32"/>
          <w:szCs w:val="32"/>
        </w:rPr>
        <w:t>保险经办机构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（协保员）开展保费收取、</w:t>
      </w:r>
      <w:r>
        <w:rPr>
          <w:rFonts w:ascii="Times New Roman" w:eastAsia="仿宋_GB2312" w:hAnsi="Times New Roman" w:cs="Times New Roman"/>
          <w:sz w:val="32"/>
          <w:szCs w:val="32"/>
        </w:rPr>
        <w:t>保险标的调查、查勘定损、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制作理赔资料</w:t>
      </w:r>
      <w:r>
        <w:rPr>
          <w:rFonts w:ascii="Times New Roman" w:eastAsia="仿宋_GB2312" w:hAnsi="Times New Roman" w:cs="Times New Roman"/>
          <w:sz w:val="32"/>
          <w:szCs w:val="32"/>
        </w:rPr>
        <w:t>等工作。</w:t>
      </w:r>
    </w:p>
    <w:p w14:paraId="4C1C7438" w14:textId="77777777" w:rsidR="00D65F34" w:rsidRDefault="00000000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保险经办机构：在各乡镇（街道）设立农业保险服务站点，做好农业保险的起保、承保、防灾、防损、查勘、定损、理赔等相关工作。完善工作机制，确保最快时间查勘、理赔。加强农业保险工作宣传，将惠农政策、承保情况、理赔结果、服务标准和监管要求进行公示。根据相关规定计提农业保险工作经费，用于补助保险经办机构聘请协保员发放补贴、承保展业、查勘定损、防灾防损及宣传费用。按时向领导小组办公室报送农业保险承保、理赔等信息情况专报。</w:t>
      </w:r>
    </w:p>
    <w:p w14:paraId="7AA37416" w14:textId="77777777" w:rsidR="00D65F34" w:rsidRDefault="00000000">
      <w:pPr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</w:t>
      </w:r>
    </w:p>
    <w:p w14:paraId="6BA977D6" w14:textId="77777777" w:rsidR="00D65F34" w:rsidRDefault="00000000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因</w:t>
      </w:r>
      <w:r>
        <w:rPr>
          <w:rFonts w:ascii="Times New Roman" w:eastAsia="仿宋_GB2312" w:hAnsi="Times New Roman" w:cs="仿宋_GB2312"/>
          <w:sz w:val="32"/>
          <w:szCs w:val="32"/>
        </w:rPr>
        <w:t>福泉市人民政府办公室关于印发《福泉市</w:t>
      </w:r>
      <w:r>
        <w:rPr>
          <w:rFonts w:ascii="Times New Roman" w:eastAsia="仿宋_GB2312" w:hAnsi="Times New Roman" w:cs="仿宋_GB2312"/>
          <w:sz w:val="32"/>
          <w:szCs w:val="32"/>
        </w:rPr>
        <w:t>2021—2023</w:t>
      </w:r>
      <w:r>
        <w:rPr>
          <w:rFonts w:ascii="Times New Roman" w:eastAsia="仿宋_GB2312" w:hAnsi="Times New Roman" w:cs="仿宋_GB2312"/>
          <w:sz w:val="32"/>
          <w:szCs w:val="32"/>
        </w:rPr>
        <w:t>年农业保险工作实施方案（修订）》</w:t>
      </w:r>
      <w:r>
        <w:rPr>
          <w:rFonts w:ascii="Times New Roman" w:eastAsia="仿宋_GB2312" w:hAnsi="Times New Roman" w:hint="eastAsia"/>
          <w:sz w:val="32"/>
          <w:szCs w:val="32"/>
        </w:rPr>
        <w:t>（福府办法〔</w:t>
      </w: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57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仿宋_GB2312"/>
          <w:sz w:val="32"/>
          <w:szCs w:val="32"/>
        </w:rPr>
        <w:t>的通知将废止，为保证新旧政策有效衔接，保障农业新型经营主体及农户利益不受损失，降低春季农业生产灾害风险，建议本《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方案</w:t>
      </w:r>
      <w:r>
        <w:rPr>
          <w:rFonts w:ascii="Times New Roman" w:eastAsia="仿宋_GB2312" w:hAnsi="Times New Roman" w:cs="仿宋_GB2312"/>
          <w:sz w:val="32"/>
          <w:szCs w:val="32"/>
        </w:rPr>
        <w:t>》自印发之日起执行。</w:t>
      </w:r>
    </w:p>
    <w:p w14:paraId="5F6732B8" w14:textId="77777777" w:rsidR="00D65F34" w:rsidRDefault="00D65F34">
      <w:pPr>
        <w:pStyle w:val="a0"/>
        <w:spacing w:line="540" w:lineRule="exact"/>
      </w:pPr>
    </w:p>
    <w:p w14:paraId="15119EEE" w14:textId="77777777" w:rsidR="00D65F34" w:rsidRDefault="00D65F34">
      <w:pPr>
        <w:pStyle w:val="a0"/>
        <w:spacing w:line="540" w:lineRule="exact"/>
      </w:pPr>
    </w:p>
    <w:p w14:paraId="600ABB05" w14:textId="77777777" w:rsidR="00D65F34" w:rsidRDefault="00000000">
      <w:pPr>
        <w:spacing w:line="540" w:lineRule="exact"/>
        <w:ind w:firstLineChars="1900" w:firstLine="60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福泉市</w:t>
      </w:r>
      <w:r>
        <w:rPr>
          <w:rFonts w:ascii="Times New Roman" w:eastAsia="仿宋_GB2312" w:hAnsi="Times New Roman" w:hint="eastAsia"/>
          <w:sz w:val="32"/>
          <w:szCs w:val="32"/>
        </w:rPr>
        <w:t>财政局</w:t>
      </w:r>
    </w:p>
    <w:p w14:paraId="16B58F41" w14:textId="77777777" w:rsidR="00D65F34" w:rsidRDefault="00000000">
      <w:pPr>
        <w:pStyle w:val="a0"/>
        <w:spacing w:line="520" w:lineRule="exact"/>
        <w:ind w:firstLineChars="1700" w:firstLine="54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D65F3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BDDE" w14:textId="77777777" w:rsidR="00731803" w:rsidRDefault="00731803">
      <w:r>
        <w:separator/>
      </w:r>
    </w:p>
  </w:endnote>
  <w:endnote w:type="continuationSeparator" w:id="0">
    <w:p w14:paraId="7EF19CFE" w14:textId="77777777" w:rsidR="00731803" w:rsidRDefault="0073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6849" w14:textId="77777777" w:rsidR="00D65F3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2908E" wp14:editId="050054A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C65ED" w14:textId="77777777" w:rsidR="00D65F34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2908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BC65ED" w14:textId="77777777" w:rsidR="00D65F34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560A" w14:textId="77777777" w:rsidR="00731803" w:rsidRDefault="00731803">
      <w:r>
        <w:separator/>
      </w:r>
    </w:p>
  </w:footnote>
  <w:footnote w:type="continuationSeparator" w:id="0">
    <w:p w14:paraId="43B5F717" w14:textId="77777777" w:rsidR="00731803" w:rsidRDefault="0073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EF7E2E"/>
    <w:rsid w:val="00577FA2"/>
    <w:rsid w:val="00731803"/>
    <w:rsid w:val="00C62F47"/>
    <w:rsid w:val="00D65F34"/>
    <w:rsid w:val="01313FE5"/>
    <w:rsid w:val="022C6982"/>
    <w:rsid w:val="02604634"/>
    <w:rsid w:val="034F2928"/>
    <w:rsid w:val="035148F2"/>
    <w:rsid w:val="04507F0D"/>
    <w:rsid w:val="045423A0"/>
    <w:rsid w:val="0527697D"/>
    <w:rsid w:val="05FD3548"/>
    <w:rsid w:val="072D55CF"/>
    <w:rsid w:val="07CF4038"/>
    <w:rsid w:val="08065580"/>
    <w:rsid w:val="0808579C"/>
    <w:rsid w:val="08803584"/>
    <w:rsid w:val="09646A02"/>
    <w:rsid w:val="0A764C3F"/>
    <w:rsid w:val="0A9027E1"/>
    <w:rsid w:val="0B3008AF"/>
    <w:rsid w:val="0C3E353A"/>
    <w:rsid w:val="0C523489"/>
    <w:rsid w:val="0CC872A8"/>
    <w:rsid w:val="0D673633"/>
    <w:rsid w:val="0DBE63CB"/>
    <w:rsid w:val="0DF36B87"/>
    <w:rsid w:val="0E5057A7"/>
    <w:rsid w:val="0E813782"/>
    <w:rsid w:val="0F7B4AA5"/>
    <w:rsid w:val="0F9A49D3"/>
    <w:rsid w:val="0FEB0667"/>
    <w:rsid w:val="0FFC1742"/>
    <w:rsid w:val="104D10D3"/>
    <w:rsid w:val="111434E3"/>
    <w:rsid w:val="1346725A"/>
    <w:rsid w:val="13DE688B"/>
    <w:rsid w:val="14655118"/>
    <w:rsid w:val="147815B3"/>
    <w:rsid w:val="14940DCB"/>
    <w:rsid w:val="14AA60B4"/>
    <w:rsid w:val="154B7418"/>
    <w:rsid w:val="156D368D"/>
    <w:rsid w:val="16734728"/>
    <w:rsid w:val="17055113"/>
    <w:rsid w:val="171F3122"/>
    <w:rsid w:val="176365CA"/>
    <w:rsid w:val="178000C3"/>
    <w:rsid w:val="17C27715"/>
    <w:rsid w:val="17C52D61"/>
    <w:rsid w:val="181E0269"/>
    <w:rsid w:val="1821268E"/>
    <w:rsid w:val="182E6B59"/>
    <w:rsid w:val="18E35B95"/>
    <w:rsid w:val="191F64A1"/>
    <w:rsid w:val="19305F20"/>
    <w:rsid w:val="1998697F"/>
    <w:rsid w:val="19DC395C"/>
    <w:rsid w:val="19F14964"/>
    <w:rsid w:val="1A534654"/>
    <w:rsid w:val="1ACE4623"/>
    <w:rsid w:val="1B2D7C35"/>
    <w:rsid w:val="1CBA4E5F"/>
    <w:rsid w:val="1D300C7D"/>
    <w:rsid w:val="1D422849"/>
    <w:rsid w:val="1DBC6DD6"/>
    <w:rsid w:val="1E346EE1"/>
    <w:rsid w:val="1E984BF6"/>
    <w:rsid w:val="1F456F66"/>
    <w:rsid w:val="1FBE4C66"/>
    <w:rsid w:val="20102DFE"/>
    <w:rsid w:val="209739A7"/>
    <w:rsid w:val="21CB71C6"/>
    <w:rsid w:val="23991E57"/>
    <w:rsid w:val="2471480D"/>
    <w:rsid w:val="25710085"/>
    <w:rsid w:val="26215BE1"/>
    <w:rsid w:val="262D66A1"/>
    <w:rsid w:val="268C60CC"/>
    <w:rsid w:val="268F113E"/>
    <w:rsid w:val="26CB1A16"/>
    <w:rsid w:val="27565784"/>
    <w:rsid w:val="27885ADD"/>
    <w:rsid w:val="27CF4492"/>
    <w:rsid w:val="285A74F6"/>
    <w:rsid w:val="28BA7D8B"/>
    <w:rsid w:val="293715E5"/>
    <w:rsid w:val="2AE61515"/>
    <w:rsid w:val="2B373B1E"/>
    <w:rsid w:val="2BEB7C37"/>
    <w:rsid w:val="2CA226B4"/>
    <w:rsid w:val="2D597EB8"/>
    <w:rsid w:val="2D8D5C78"/>
    <w:rsid w:val="2DEA131C"/>
    <w:rsid w:val="2F0F2DE8"/>
    <w:rsid w:val="306929CC"/>
    <w:rsid w:val="30930214"/>
    <w:rsid w:val="30937A49"/>
    <w:rsid w:val="30CB61DC"/>
    <w:rsid w:val="30DD0CC4"/>
    <w:rsid w:val="317C2A5D"/>
    <w:rsid w:val="317F014F"/>
    <w:rsid w:val="318609E0"/>
    <w:rsid w:val="31F46862"/>
    <w:rsid w:val="320C5C34"/>
    <w:rsid w:val="324C0DBC"/>
    <w:rsid w:val="32FD73FC"/>
    <w:rsid w:val="34FD7B87"/>
    <w:rsid w:val="3592207D"/>
    <w:rsid w:val="35A31B42"/>
    <w:rsid w:val="365E4655"/>
    <w:rsid w:val="37B11EF5"/>
    <w:rsid w:val="381C20D2"/>
    <w:rsid w:val="38D02F69"/>
    <w:rsid w:val="393022D9"/>
    <w:rsid w:val="39B2558E"/>
    <w:rsid w:val="3A1A356E"/>
    <w:rsid w:val="3A575643"/>
    <w:rsid w:val="3A5C1F9B"/>
    <w:rsid w:val="3AEE3D31"/>
    <w:rsid w:val="3B3B1D93"/>
    <w:rsid w:val="3B783AC3"/>
    <w:rsid w:val="3C6159A0"/>
    <w:rsid w:val="3CCC45CD"/>
    <w:rsid w:val="3CF4526C"/>
    <w:rsid w:val="3DA2751D"/>
    <w:rsid w:val="3EA96D92"/>
    <w:rsid w:val="3EFC4A0B"/>
    <w:rsid w:val="3F7B233C"/>
    <w:rsid w:val="402B37FA"/>
    <w:rsid w:val="4112425A"/>
    <w:rsid w:val="41911D83"/>
    <w:rsid w:val="4359242C"/>
    <w:rsid w:val="438751EB"/>
    <w:rsid w:val="43CF1EA3"/>
    <w:rsid w:val="45352A25"/>
    <w:rsid w:val="463B0622"/>
    <w:rsid w:val="473B4D55"/>
    <w:rsid w:val="477E4B57"/>
    <w:rsid w:val="49006DB3"/>
    <w:rsid w:val="49544439"/>
    <w:rsid w:val="4968796F"/>
    <w:rsid w:val="49AE2DA6"/>
    <w:rsid w:val="4A203CA4"/>
    <w:rsid w:val="4A227A1C"/>
    <w:rsid w:val="4A834233"/>
    <w:rsid w:val="4AB35768"/>
    <w:rsid w:val="4AC073B0"/>
    <w:rsid w:val="4BD411EA"/>
    <w:rsid w:val="4BEF1B80"/>
    <w:rsid w:val="4BF10115"/>
    <w:rsid w:val="4C515514"/>
    <w:rsid w:val="4CEC60BF"/>
    <w:rsid w:val="4D051F7F"/>
    <w:rsid w:val="4D114551"/>
    <w:rsid w:val="4D2717ED"/>
    <w:rsid w:val="4D482874"/>
    <w:rsid w:val="4D7479A1"/>
    <w:rsid w:val="4DA20D09"/>
    <w:rsid w:val="4DD03E06"/>
    <w:rsid w:val="4E6D76D3"/>
    <w:rsid w:val="4E93713A"/>
    <w:rsid w:val="4F8E345D"/>
    <w:rsid w:val="4FAD422B"/>
    <w:rsid w:val="4FCD042A"/>
    <w:rsid w:val="50146059"/>
    <w:rsid w:val="508C2093"/>
    <w:rsid w:val="508F3931"/>
    <w:rsid w:val="50AA42C7"/>
    <w:rsid w:val="54203A0B"/>
    <w:rsid w:val="546C4A64"/>
    <w:rsid w:val="547F1F0F"/>
    <w:rsid w:val="549F610D"/>
    <w:rsid w:val="55254864"/>
    <w:rsid w:val="55627866"/>
    <w:rsid w:val="56BC6B02"/>
    <w:rsid w:val="56DA5E47"/>
    <w:rsid w:val="5943350B"/>
    <w:rsid w:val="594A4899"/>
    <w:rsid w:val="5955323E"/>
    <w:rsid w:val="5A6A4AC7"/>
    <w:rsid w:val="5AC73CC7"/>
    <w:rsid w:val="5AE900E2"/>
    <w:rsid w:val="5B242EC8"/>
    <w:rsid w:val="5D43462C"/>
    <w:rsid w:val="5D7C6CD2"/>
    <w:rsid w:val="5D9E7C9E"/>
    <w:rsid w:val="5E4C1C41"/>
    <w:rsid w:val="5F546472"/>
    <w:rsid w:val="5FFA069B"/>
    <w:rsid w:val="60F33A68"/>
    <w:rsid w:val="6151253D"/>
    <w:rsid w:val="62031A89"/>
    <w:rsid w:val="626764BC"/>
    <w:rsid w:val="62FD472A"/>
    <w:rsid w:val="633A03C4"/>
    <w:rsid w:val="63FA1AF2"/>
    <w:rsid w:val="647B78A2"/>
    <w:rsid w:val="659B319B"/>
    <w:rsid w:val="65B265E9"/>
    <w:rsid w:val="66260593"/>
    <w:rsid w:val="66410DD2"/>
    <w:rsid w:val="664408C2"/>
    <w:rsid w:val="66770C98"/>
    <w:rsid w:val="673426E5"/>
    <w:rsid w:val="68175259"/>
    <w:rsid w:val="68376D46"/>
    <w:rsid w:val="683E6E5D"/>
    <w:rsid w:val="69694951"/>
    <w:rsid w:val="69A9560C"/>
    <w:rsid w:val="6AC563FD"/>
    <w:rsid w:val="6B770692"/>
    <w:rsid w:val="6BEE5558"/>
    <w:rsid w:val="6C8A6C5B"/>
    <w:rsid w:val="6C9F301C"/>
    <w:rsid w:val="6FDC0E71"/>
    <w:rsid w:val="701F5F28"/>
    <w:rsid w:val="706978A3"/>
    <w:rsid w:val="70C64CF5"/>
    <w:rsid w:val="70EF7E2E"/>
    <w:rsid w:val="713559D7"/>
    <w:rsid w:val="714B51FB"/>
    <w:rsid w:val="71A32941"/>
    <w:rsid w:val="71BC5DEB"/>
    <w:rsid w:val="73076F95"/>
    <w:rsid w:val="73E334C8"/>
    <w:rsid w:val="7419411D"/>
    <w:rsid w:val="741C4EAA"/>
    <w:rsid w:val="75137030"/>
    <w:rsid w:val="7652470F"/>
    <w:rsid w:val="76851387"/>
    <w:rsid w:val="76A2766B"/>
    <w:rsid w:val="76B84624"/>
    <w:rsid w:val="7A3227C2"/>
    <w:rsid w:val="7A3525A4"/>
    <w:rsid w:val="7B9C13AA"/>
    <w:rsid w:val="7BF4462D"/>
    <w:rsid w:val="7BF64AD3"/>
    <w:rsid w:val="7BF92241"/>
    <w:rsid w:val="7D1B0177"/>
    <w:rsid w:val="7D54001E"/>
    <w:rsid w:val="7E2E5C88"/>
    <w:rsid w:val="7E3D5ECB"/>
    <w:rsid w:val="7E614EB4"/>
    <w:rsid w:val="7E6671D0"/>
    <w:rsid w:val="7F005B4A"/>
    <w:rsid w:val="7F32370E"/>
    <w:rsid w:val="7F6A2DB1"/>
    <w:rsid w:val="7FF01447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BF0AD"/>
  <w15:docId w15:val="{9C2D8D84-A9A7-495E-AE4E-6694A40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jc w:val="both"/>
    </w:pPr>
    <w:rPr>
      <w:rFonts w:ascii="Calibri" w:hAnsi="Calibr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4">
    <w:name w:val="toa heading"/>
    <w:basedOn w:val="a"/>
    <w:next w:val="a"/>
    <w:qFormat/>
    <w:pPr>
      <w:widowControl w:val="0"/>
    </w:pPr>
    <w:rPr>
      <w:rFonts w:ascii="Arial" w:hAnsi="Arial"/>
      <w:kern w:val="2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">
    <w:name w:val="正文文本1"/>
    <w:qFormat/>
    <w:pPr>
      <w:spacing w:line="415" w:lineRule="auto"/>
      <w:ind w:firstLine="400"/>
    </w:pPr>
    <w:rPr>
      <w:rFonts w:ascii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潘芳</dc:creator>
  <cp:lastModifiedBy>浮生若梦</cp:lastModifiedBy>
  <cp:revision>2</cp:revision>
  <cp:lastPrinted>2024-07-03T02:01:00Z</cp:lastPrinted>
  <dcterms:created xsi:type="dcterms:W3CDTF">2022-03-17T00:41:00Z</dcterms:created>
  <dcterms:modified xsi:type="dcterms:W3CDTF">2024-07-05T08:16:00Z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39B12EB5A1C14D96B69D4E17A48AA387</vt:lpwstr>
  </property>
</Properties>
</file>